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240" w:lineRule="auto"/>
        <w:ind w:left="0" w:firstLine="0"/>
        <w:jc w:val="center"/>
        <w:rPr>
          <w:rFonts w:hint="eastAsia" w:ascii="黑体" w:hAnsi="宋体" w:eastAsia="黑体" w:cs="黑体"/>
          <w:b w:val="0"/>
          <w:i w:val="0"/>
          <w:caps w:val="0"/>
          <w:color w:val="333333"/>
          <w:spacing w:val="0"/>
          <w:sz w:val="30"/>
          <w:szCs w:val="30"/>
          <w:shd w:val="clear" w:fill="FFFFFF"/>
        </w:rPr>
      </w:pPr>
      <w:r>
        <w:rPr>
          <w:rFonts w:hint="eastAsia" w:ascii="黑体" w:hAnsi="宋体" w:eastAsia="黑体" w:cs="黑体"/>
          <w:b w:val="0"/>
          <w:i w:val="0"/>
          <w:caps w:val="0"/>
          <w:color w:val="333333"/>
          <w:spacing w:val="0"/>
          <w:sz w:val="30"/>
          <w:szCs w:val="30"/>
          <w:shd w:val="clear" w:fill="FFFFFF"/>
        </w:rPr>
        <w:t>中华人民共和国</w:t>
      </w:r>
      <w:bookmarkStart w:id="0" w:name="_GoBack"/>
      <w:r>
        <w:rPr>
          <w:rFonts w:hint="eastAsia" w:ascii="黑体" w:hAnsi="宋体" w:eastAsia="黑体" w:cs="黑体"/>
          <w:b w:val="0"/>
          <w:i w:val="0"/>
          <w:caps w:val="0"/>
          <w:color w:val="333333"/>
          <w:spacing w:val="0"/>
          <w:sz w:val="30"/>
          <w:szCs w:val="30"/>
          <w:shd w:val="clear" w:fill="FFFFFF"/>
        </w:rPr>
        <w:t>野生动物保护法（2016版）</w:t>
      </w:r>
      <w:bookmarkEnd w:id="0"/>
    </w:p>
    <w:p>
      <w:pPr>
        <w:pStyle w:val="2"/>
        <w:keepNext w:val="0"/>
        <w:keepLines w:val="0"/>
        <w:widowControl/>
        <w:suppressLineNumbers w:val="0"/>
        <w:shd w:val="clear" w:fill="FFFFFF"/>
        <w:wordWrap w:val="0"/>
        <w:spacing w:line="240" w:lineRule="auto"/>
        <w:ind w:left="0" w:firstLine="0"/>
        <w:jc w:val="center"/>
        <w:rPr>
          <w:rFonts w:hint="eastAsia" w:ascii="黑体" w:hAnsi="宋体" w:eastAsia="黑体" w:cs="黑体"/>
          <w:b w:val="0"/>
          <w:i w:val="0"/>
          <w:caps w:val="0"/>
          <w:color w:val="333333"/>
          <w:spacing w:val="0"/>
          <w:sz w:val="30"/>
          <w:szCs w:val="30"/>
          <w:shd w:val="clear" w:fill="FFFFFF"/>
        </w:rPr>
      </w:pPr>
      <w:r>
        <w:rPr>
          <w:rFonts w:hint="eastAsia" w:ascii="黑体" w:hAnsi="宋体" w:eastAsia="黑体" w:cs="黑体"/>
          <w:b w:val="0"/>
          <w:i w:val="0"/>
          <w:caps w:val="0"/>
          <w:color w:val="333333"/>
          <w:spacing w:val="0"/>
          <w:sz w:val="30"/>
          <w:szCs w:val="30"/>
          <w:shd w:val="clear" w:fill="FFFFFF"/>
        </w:rPr>
        <w:t>(主席令第四十七号)</w:t>
      </w:r>
    </w:p>
    <w:p>
      <w:pPr>
        <w:pStyle w:val="2"/>
        <w:keepNext w:val="0"/>
        <w:keepLines w:val="0"/>
        <w:widowControl/>
        <w:suppressLineNumbers w:val="0"/>
        <w:shd w:val="clear" w:fill="FFFFFF"/>
        <w:wordWrap w:val="0"/>
        <w:spacing w:line="240" w:lineRule="auto"/>
        <w:ind w:left="0" w:firstLine="0"/>
        <w:jc w:val="center"/>
        <w:rPr>
          <w:rFonts w:ascii="黑体" w:hAnsi="宋体" w:eastAsia="黑体" w:cs="黑体"/>
          <w:b w:val="0"/>
          <w:i w:val="0"/>
          <w:caps w:val="0"/>
          <w:color w:val="333333"/>
          <w:spacing w:val="0"/>
          <w:sz w:val="30"/>
          <w:szCs w:val="30"/>
        </w:rPr>
      </w:pPr>
      <w:r>
        <w:rPr>
          <w:rFonts w:hint="eastAsia" w:ascii="黑体" w:hAnsi="宋体" w:eastAsia="黑体" w:cs="黑体"/>
          <w:b w:val="0"/>
          <w:i w:val="0"/>
          <w:caps w:val="0"/>
          <w:color w:val="333333"/>
          <w:spacing w:val="0"/>
          <w:sz w:val="30"/>
          <w:szCs w:val="30"/>
          <w:shd w:val="clear" w:fill="FFFFFF"/>
        </w:rPr>
        <w:t>【2017-01-01实施】</w:t>
      </w:r>
    </w:p>
    <w:p>
      <w:pPr>
        <w:keepNext w:val="0"/>
        <w:keepLines w:val="0"/>
        <w:widowControl/>
        <w:suppressLineNumbers w:val="0"/>
        <w:pBdr>
          <w:top w:val="none" w:color="auto" w:sz="0" w:space="0"/>
          <w:left w:val="none" w:color="auto" w:sz="0" w:space="0"/>
          <w:bottom w:val="single" w:color="666666" w:sz="6" w:space="11"/>
          <w:right w:val="none" w:color="auto" w:sz="0" w:space="0"/>
        </w:pBdr>
        <w:shd w:val="clear" w:fill="FFFFFF"/>
        <w:wordWrap w:val="0"/>
        <w:spacing w:before="0" w:beforeAutospacing="0" w:after="450" w:afterAutospacing="0" w:line="240" w:lineRule="auto"/>
        <w:ind w:right="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【发布单位】 全国人大 </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【发布文号】 主席令第四十七号</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【发布日期】 2016-07-02</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【生效日期】 2017-01-01</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【效    力】 </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【备    注】  http://www.npc.gov.cn/npc/xinwen/2016-07/04/content_1993249.htm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中华人民共和国野生动物保护法》已由中华人民共和国第十二届全国人民代表大会常务委员会第二十一次会议于2016年7月2日修订通过，现将修订后的《中华人民共和国野生动物保护法》公布，自2017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中华人民共和国主席　习近平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2016年7月2日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第二章 野生动物及其栖息地保护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第三章 野生动物管理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第一条 为了保护野生动物，拯救珍贵、濒危野生动物，维护生物多样性和生态平衡，推进生态文明建设，制定本法。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第二条 在中华人民共和国领域及管辖的其他海域，从事野生动物保护及相关活动，适用本法。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本法规定保护的野生动物，是指珍贵、濒危的陆生、水生野生动物和有重要生态、科学、社会价值的陆生野生动物。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本法规定的野生动物及其制品，是指野生动物的整体（含卵、蛋）、部分及其衍生物。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珍贵、濒危的水生野生动物以外的其他水生野生动物的保护，适用《中华人民共和国渔业法》等有关法律的规定。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第三条 野生动物资源属于国家所有。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国家保障依法从事野生动物科学研究、人工繁育等保护及相关活动的组织和个人的合法权益。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第四条国家对野生动物实行保护优先、规范利用、严格监管的原则，鼓励开展野生动物科学研究，培育公民保护野生动物的意识，促进人与自然和谐发展。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第五条国家保护野生动物及其栖息地。县级以上人民政府应当制定野生动物及其栖息地相关保护规划和措施，并将野生动物保护经费纳入预算。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国家鼓励公民、法人和其他组织依法通过捐赠、资助、志愿服务等方式参与野生动物保护活动，支持野生动物保护公益事业。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本法规定的野生动物栖息地，是指野生动物野外种群生息繁衍的重要区域。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第六条 任何组织和个人都有保护野生动物及其栖息地的义务。禁止违法猎捕野生动物、破坏野生动物栖息地。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任何组织和个人都有权向有关部门和机关举报或者控告违反本法的行为。野生动物保护主管部门和其他有关部门、机关对举报或者控告，应当及时依法处理。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第七条 国务院林业、渔业主管部门分别主管全国陆生、水生野生动物保护工作。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县级以上地方人民政府林业、渔业主管部门分别主管本行政区域内陆生、水生野生动物保护工作。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第八条各级人民政府应当加强野生动物保护的宣传教育和科学知识普及工作，鼓励和支持基层群众性自治组织、社会组织、企业事业单位、志愿者开展野生动物保护法律法规和保护知识的宣传活动。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教育行政部门、学校应当对学生进行野生动物保护知识教育。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新闻媒体应当开展野生动物保护法律法规和保护知识的宣传，对违法行为进行舆论监督。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第九条 在野生动物保护和科学研究方面成绩显著的组织和个人，由县级以上人民政府给予奖励。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第二章 野生动物及其栖息地保护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第十条 国家对野生动物实行分类分级保护。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地方重点保护野生动物，是指国家重点保护野生动物以外，由省、自治区、直辖市重点保护的野生动物。地方重点保护野生动物名录，由省、自治区、直辖市人民政府组织科学评估后制定、调整并公布。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有重要生态、科学、社会价值的陆生野生动物名录，由国务院野生动物保护主管部门组织科学评估后制定、调整并公布。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第十一条县级以上人民政府野生动物保护主管部门，应当定期组织或者委托有关科学研究机构对野生动物及其栖息地状况进行调查、监测和评估，建立健全野生动物及其栖息地档案。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对野生动物及其栖息地状况的调查、监测和评估应当包括下列内容：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（一）野生动物野外分布区域、种群数量及结构；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（二）野生动物栖息地的面积、生态状况；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（三）野生动物及其栖息地的主要威胁因素；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（四）野生动物人工繁育情况等其他需要调查、监测和评估的内容。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第十二条国务院野生动物保护主管部门应当会同国务院有关部门，根据野生动物及其栖息地状况的调查、监测和评估结果，确定并发布野生动物重要栖息地名录。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禁止或者限制在相关自然保护区域内引入外来物种、营造单一纯林、过量施洒农药等人为干扰、威胁野生动物生息繁衍的行为。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相关自然保护区域，依照有关法律法规的规定划定和管理。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三条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第十四条各级野生动物保护主管部门应当监视、监测环境对野生动物的影响。由于环境影响对野生动物造成危害时，野生动物保护主管部门应当会同有关部门进行调查处理。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第十五条国家或者地方重点保护野生动物受到自然灾害、重大环境污染事故等突发事件威胁时，当地人民政府应当及时采取应急救助措施。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县级以上人民政府野生动物保护主管部门应当按照国家有关规定组织开展野生动物收容救护工作。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禁止以野生动物收容救护为名买卖野生动物及其制品。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六条县级以上人民政府野生动物保护主管部门、兽医主管部门，应当按照职责分工对野生动物疫源疫病进行监测，组织开展预测、预报等工作，并按照规定制定野生动物疫情应急预案，报同级人民政府批准或者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县级以上人民政府野生动物保护主管部门、兽医主管部门、卫生主管部门，应当按照职责分工负责与人畜共患传染病有关的动物传染病的防治管理工作。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第十七条 国家加强对野生动物遗传资源的保护，对濒危野生动物实施抢救性保护。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国务院野生动物保护主管部门应当会同国务院有关部门制定有关野生动物遗传资源保护和利用规划，建立国家野生动物遗传资源基因库，对原产我国的珍贵、濒危野生动物遗传资源实行重点保护。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第十八条 有关地方人民政府应当采取措施，预防、控制野生动物可能造成的危害，保障人畜安全和农业、林业生产。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十九条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有关地方人民政府采取预防、控制国家重点保护野生动物造成危害的措施以及实行补偿所需经费，由中央财政按照国家有关规定予以补助。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第三章　野生动物管理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第二十条　在相关自然保护区域和禁猎（渔）区、禁猎（渔）期内，禁止猎捕以及其他妨碍野生动物生息繁衍的活动，但法律法规另有规定的除外。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第二十一条　禁止猎捕、杀害国家重点保护野生动物。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第二十二条　猎捕非国家重点保护野生动物的，应当依法取得县级以上地方人民政府野生动物保护主管部门核发的狩猎证，并且服从猎捕量限额管理。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第二十三条　猎捕者应当按照特许猎捕证、狩猎证规定的种类、数量、地点、工具、方法和期限进行猎捕。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持枪猎捕的，应当依法取得公安机关核发的持枪证。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第二十四条　禁止使用毒药、爆炸物、电击或者电子诱捕装置以及猎套、猎夹、地枪、排铳等工具进行猎捕，禁止使用夜间照明行猎、歼灭性围猎、捣毁巢穴、火攻、烟熏、网捕等方法进行猎捕，但因科学研究确需网捕、电子诱捕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前款规定以外的禁止使用的猎捕工具和方法，由县级以上地方人民政府规定并公布。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第二十五条　国家支持有关科学研究机构因物种保护目的人工繁育国家重点保护野生动物。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人工繁育国家重点保护野生动物应当使用人工繁育子代种源，建立物种系谱、繁育档案和个体数据。因物种保护目的确需采用野外种源的，适用本法第二十一条和第二十三条的规定。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本法所称人工繁育子代，是指人工控制条件下繁殖出生的子代个体且其亲本也在人工控制条件下出生。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第二十六条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省级以上人民政府野生动物保护主管部门可以根据保护国家重点保护野生动物的需要，组织开展国家重点保护野生动物放归野外环境工作。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第二十七条　禁止出售、购买、利用国家重点保护野生动物及其制品。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实行国家重点保护野生动物及其制品专用标识的范围和管理办法，由国务院野生动物保护主管部门规定。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出售、利用非国家重点保护野生动物的，应当提供狩猎、进出口等合法来源证明。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出售本条第二款、第四款规定的野生动物的，还应当依法附有检疫证明。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第二十九条　利用野生动物及其制品的，应当以人工繁育种群为主，有利于野外种群养护，符合生态文明建设的要求，尊重社会公德，遵守法律法规和国家有关规定。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野生动物及其制品作为药品经营和利用的，还应当遵守有关药品管理的法律法规。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第三十条　禁止生产、经营使用国家重点保护野生动物及其制品制作的食品，或者使用没有合法来源证明的非国家重点保护野生动物及其制品制作的食品。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禁止为食用非法购买国家重点保护的野生动物及其制品。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第三十一条　禁止为出售、购买、利用野生动物或者禁止使用的猎捕工具发布广告。禁止为违法出售、购买、利用野生动物制品发布广告。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第三十二条　禁止网络交易平台、商品交易市场等交易场所，为违法出售、购买、利用野生动物及其制品或者禁止使用的猎捕工具提供交易服务。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运输非国家重点保护野生动物出县境的，应当持有狩猎、进出口等合法来源证明，以及检疫证明。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第三十四条　县级以上人民政府野生动物保护主管部门应当对科学研究、人工繁育、公众展示展演等利用野生动物及其制品的活动进行监督管理。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县级以上人民政府其他有关部门，应当按照职责分工对野生动物及其制品出售、购买、利用、运输、寄递等活动进行监督检查。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第三十五条　中华人民共和国缔结或者参加的国际公约禁止或者限制贸易的野生动物或者其制品名录，由国家濒危物种进出口管理机构制定、调整并公布。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进出口列入前款名录的野生动物或者其制品的，出口国家重点保护野生动物或者其制品的，应当经国务院野生动物保护主管部门或者国务院批准，并取得国家濒危物种进出口管理机构核发的允许进出口证明书。依法实施进出境检疫。海关凭允许进出口证明书、检疫证明按照规定办理通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涉及科学技术保密的野生动物物种的出口，按照国务院有关规定办理。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列入本条第一款名录的野生动物，经国务院野生动物保护主管部门核准，在本法适用范围内可以按照国家重点保护的野生动物管理。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第三十六条　国家组织开展野生动物保护及相关执法活动的国际合作与交流；建立防范、打击野生动物及其制品的走私和非法贸易的部门协调机制，开展防范、打击走私和非法贸易行动。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第三十七条　从境外引进野生动物物种的，应当经国务院野生动物保护主管部门批准。从境外引进列入本法第三十五条第一款名录的野生动物，还应当依法取得允许进出口证明书。依法实施进境检疫。海关凭进口批准文件或者允许进出口证明书以及检疫证明按照规定办理通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从境外引进野生动物物种的，应当采取安全可靠的防范措施，防止其进入野外环境，避免对生态系统造成危害。确需将其放归野外的，按照国家有关规定执行。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第三十八条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第三十九条　禁止伪造、变造、买卖、转让、租借特许猎捕证、狩猎证、人工繁育许可证及专用标识，出售、购买、利用国家重点保护野生动物及其制品的批准文件，或者允许进出口证明书、进出口等批准文件。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前款规定的有关许可证书、专用标识、批准文件的发放情况，应当依法公开。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第四十条　外国人在我国对国家重点保护野生动物进行野外考察或者在野外拍摄电影、录像，应当经省、自治区、直辖市人民政府野生动物保护主管部门或者其授权的单位批准，并遵守有关法律法规规定。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第四十一条　地方重点保护野生动物和其他非国家重点保护野生动物的管理办法，由省、自治区、直辖市人民代表大会或者其常务委员会制定。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第四十三条 违反本法第十二条第三款、第十三条第二款规定的，依照有关法律法规的规定处罚。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违反本法第二十三条第二款规定，未取得持枪证持枪猎捕野生动物，构成违反治安管理行为的，由公安机关依法给予治安管理处罚；构成犯罪的，依法追究刑事责任。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违反本法第二十七条第五款、第三十三条规定，出售、运输、携带、寄递有关野生动物及其制品未持有或者未附有检疫证明的，依照《中华人民共和国动物防疫法》的规定处罚。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第五十条违反本法第三十一条规定，为出售、购买、利用野生动物及其制品或者禁止使用的猎捕工具发布广告的，依照《中华人民共和国广告法》的规定处罚。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一条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第五十二条违反本法第三十五条规定，进出口野生动物或者其制品的，由海关、检验检疫、公安机关、海洋执法部门依照法律、行政法规和国家有关规定处罚；构成犯罪的，依法追究刑事责任。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第五十六条 依照本法规定没收的实物，由县级以上人民政府野生动物保护主管部门或者其授权的单位按照规定处理。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第五十七条 本法规定的猎获物价值、野生动物及其制品价值的评估标准和方法，由国务院野生动物保护主管部门制定。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第五十八条 本法自2017年1月1日起施行。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B2A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2016-10-18T02:56:21Z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